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5CA11" w14:textId="77777777" w:rsidR="005C1731" w:rsidRPr="003463E1" w:rsidRDefault="005C1731" w:rsidP="005C1731">
      <w:pPr>
        <w:spacing w:after="0"/>
        <w:ind w:left="6372" w:firstLine="3"/>
        <w:rPr>
          <w:rFonts w:ascii="Roboto" w:hAnsi="Roboto"/>
        </w:rPr>
      </w:pPr>
    </w:p>
    <w:p w14:paraId="7D66B32E" w14:textId="665B59E0" w:rsidR="005C1731" w:rsidRPr="003463E1" w:rsidRDefault="00DA37D7" w:rsidP="005C1731">
      <w:pPr>
        <w:spacing w:after="0"/>
        <w:ind w:left="6372" w:firstLine="3"/>
        <w:rPr>
          <w:rFonts w:ascii="Roboto" w:hAnsi="Roboto"/>
        </w:rPr>
      </w:pPr>
      <w:r>
        <w:rPr>
          <w:rFonts w:ascii="Roboto" w:hAnsi="Roboto"/>
        </w:rPr>
        <w:t xml:space="preserve"> </w:t>
      </w:r>
    </w:p>
    <w:p w14:paraId="3E4B4975" w14:textId="3C319FB2" w:rsidR="005C1731" w:rsidRPr="003463E1" w:rsidRDefault="005C1731" w:rsidP="000D3EB8">
      <w:pPr>
        <w:tabs>
          <w:tab w:val="left" w:pos="3858"/>
        </w:tabs>
        <w:jc w:val="both"/>
        <w:rPr>
          <w:rFonts w:ascii="Roboto" w:hAnsi="Roboto"/>
          <w:b/>
        </w:rPr>
      </w:pPr>
      <w:r w:rsidRPr="003463E1">
        <w:rPr>
          <w:rFonts w:ascii="Roboto" w:hAnsi="Roboto"/>
          <w:b/>
        </w:rPr>
        <w:t xml:space="preserve">Poučení </w:t>
      </w:r>
      <w:r w:rsidR="00966AE2">
        <w:rPr>
          <w:rFonts w:ascii="Roboto" w:hAnsi="Roboto"/>
          <w:b/>
        </w:rPr>
        <w:t xml:space="preserve">pro notáře </w:t>
      </w:r>
      <w:r w:rsidRPr="003463E1">
        <w:rPr>
          <w:rFonts w:ascii="Roboto" w:hAnsi="Roboto"/>
          <w:b/>
        </w:rPr>
        <w:t>před rozhodnutím o dědictví</w:t>
      </w:r>
    </w:p>
    <w:p w14:paraId="694DD85B" w14:textId="0FFD5663" w:rsidR="005C1731" w:rsidRPr="003463E1" w:rsidRDefault="00591FDD" w:rsidP="00591FDD">
      <w:pPr>
        <w:jc w:val="both"/>
        <w:rPr>
          <w:rFonts w:ascii="Roboto" w:hAnsi="Roboto"/>
        </w:rPr>
      </w:pPr>
      <w:r w:rsidRPr="003463E1">
        <w:rPr>
          <w:rFonts w:ascii="Roboto" w:hAnsi="Roboto"/>
        </w:rPr>
        <w:t>M</w:t>
      </w:r>
      <w:r w:rsidR="005C1731" w:rsidRPr="003463E1">
        <w:rPr>
          <w:rFonts w:ascii="Roboto" w:hAnsi="Roboto"/>
        </w:rPr>
        <w:t xml:space="preserve">ajetková práva autorská a majetková práva související </w:t>
      </w:r>
      <w:r w:rsidRPr="003463E1">
        <w:rPr>
          <w:rFonts w:ascii="Roboto" w:hAnsi="Roboto"/>
        </w:rPr>
        <w:t xml:space="preserve">s právem autorským </w:t>
      </w:r>
      <w:r w:rsidR="005C1731" w:rsidRPr="003463E1">
        <w:rPr>
          <w:rFonts w:ascii="Roboto" w:hAnsi="Roboto"/>
        </w:rPr>
        <w:t>(tj. majetková práva výkonného umělce a majetková práva výrobce zvukového nebo zvukově obrazového zázn</w:t>
      </w:r>
      <w:r w:rsidR="007B314A" w:rsidRPr="003463E1">
        <w:rPr>
          <w:rFonts w:ascii="Roboto" w:hAnsi="Roboto"/>
        </w:rPr>
        <w:t>amu) mají svá značná specifika</w:t>
      </w:r>
      <w:r w:rsidRPr="003463E1">
        <w:rPr>
          <w:rFonts w:ascii="Roboto" w:hAnsi="Roboto"/>
        </w:rPr>
        <w:t xml:space="preserve">, která musejí být vždy zohledněna.  </w:t>
      </w:r>
    </w:p>
    <w:p w14:paraId="73B9682E" w14:textId="77777777" w:rsidR="000D3EB8" w:rsidRPr="003463E1" w:rsidRDefault="000D3EB8" w:rsidP="000D3EB8">
      <w:pPr>
        <w:ind w:right="142"/>
        <w:rPr>
          <w:rFonts w:ascii="Roboto" w:hAnsi="Roboto"/>
          <w:b/>
          <w:u w:val="single"/>
        </w:rPr>
      </w:pPr>
    </w:p>
    <w:p w14:paraId="2A86EF4C" w14:textId="77777777" w:rsidR="000D3EB8" w:rsidRPr="003463E1" w:rsidRDefault="000D3EB8" w:rsidP="000D3EB8">
      <w:pPr>
        <w:ind w:right="142"/>
        <w:rPr>
          <w:rFonts w:ascii="Roboto" w:hAnsi="Roboto"/>
          <w:b/>
          <w:u w:val="single"/>
        </w:rPr>
      </w:pPr>
      <w:r w:rsidRPr="003463E1">
        <w:rPr>
          <w:rFonts w:ascii="Roboto" w:hAnsi="Roboto"/>
          <w:b/>
          <w:u w:val="single"/>
        </w:rPr>
        <w:t>Předmět dědického řízení</w:t>
      </w:r>
    </w:p>
    <w:p w14:paraId="33706ED6" w14:textId="278DE8C6" w:rsidR="005C1731" w:rsidRPr="003463E1" w:rsidRDefault="005C1731" w:rsidP="000D3EB8">
      <w:pPr>
        <w:pStyle w:val="Odstavecseseznamem"/>
        <w:ind w:left="0" w:right="142"/>
        <w:jc w:val="both"/>
        <w:rPr>
          <w:rFonts w:ascii="Roboto" w:hAnsi="Roboto"/>
        </w:rPr>
      </w:pPr>
      <w:r w:rsidRPr="003463E1">
        <w:rPr>
          <w:rFonts w:ascii="Roboto" w:hAnsi="Roboto"/>
        </w:rPr>
        <w:t xml:space="preserve">Jelikož je předpoklad užití zaznamenaných výkonů </w:t>
      </w:r>
      <w:r w:rsidR="007B314A" w:rsidRPr="003463E1">
        <w:rPr>
          <w:rFonts w:ascii="Roboto" w:hAnsi="Roboto"/>
        </w:rPr>
        <w:t>výkonného umělce (zůstavitele)</w:t>
      </w:r>
      <w:r w:rsidRPr="003463E1">
        <w:rPr>
          <w:rFonts w:ascii="Roboto" w:hAnsi="Roboto"/>
        </w:rPr>
        <w:t xml:space="preserve"> i v budoucnu, je třeba, aby v rozhodnutí o vypořádání dědictví bylo výslovně uvedeno, kdo je dědicem práv výkonného umělce. Tento druh práv nelze směšovat s právy autorskými. </w:t>
      </w:r>
      <w:r w:rsidR="007B314A" w:rsidRPr="003463E1">
        <w:rPr>
          <w:rFonts w:ascii="Roboto" w:hAnsi="Roboto"/>
        </w:rPr>
        <w:t>Rovněž je důležité, že k</w:t>
      </w:r>
      <w:r w:rsidRPr="003463E1">
        <w:rPr>
          <w:rFonts w:ascii="Roboto" w:hAnsi="Roboto"/>
        </w:rPr>
        <w:t>aždé z těchto práv spravuj</w:t>
      </w:r>
      <w:r w:rsidR="00591FDD" w:rsidRPr="003463E1">
        <w:rPr>
          <w:rFonts w:ascii="Roboto" w:hAnsi="Roboto"/>
        </w:rPr>
        <w:t>e jiný kolektivní správce (tj. </w:t>
      </w:r>
      <w:r w:rsidRPr="003463E1">
        <w:rPr>
          <w:rFonts w:ascii="Roboto" w:hAnsi="Roboto"/>
        </w:rPr>
        <w:t>INTERGRAM, OSA atp.)</w:t>
      </w:r>
      <w:r w:rsidR="00591FDD" w:rsidRPr="003463E1">
        <w:rPr>
          <w:rFonts w:ascii="Roboto" w:hAnsi="Roboto"/>
        </w:rPr>
        <w:t>.</w:t>
      </w:r>
      <w:r w:rsidRPr="003463E1">
        <w:rPr>
          <w:rFonts w:ascii="Roboto" w:hAnsi="Roboto"/>
        </w:rPr>
        <w:t xml:space="preserve"> </w:t>
      </w:r>
    </w:p>
    <w:p w14:paraId="39C9DF0C" w14:textId="444696CA" w:rsidR="008334E6" w:rsidRDefault="008334E6" w:rsidP="00591FDD">
      <w:pPr>
        <w:ind w:right="142"/>
        <w:jc w:val="both"/>
        <w:rPr>
          <w:rFonts w:ascii="Roboto" w:hAnsi="Roboto"/>
        </w:rPr>
      </w:pPr>
      <w:r w:rsidRPr="003463E1">
        <w:rPr>
          <w:rFonts w:ascii="Roboto" w:hAnsi="Roboto"/>
        </w:rPr>
        <w:t>INTERGRAM spravuje nikoli práva autorů k jejich autorským dílům – autorská práva – (ve smyslu § 2 zákona</w:t>
      </w:r>
      <w:r w:rsidR="002D685B" w:rsidRPr="003463E1">
        <w:rPr>
          <w:rFonts w:ascii="Roboto" w:hAnsi="Roboto"/>
        </w:rPr>
        <w:t xml:space="preserve"> č. 121/2000 Sb., autorský zákon, ve znění pozdějších předpisů</w:t>
      </w:r>
      <w:r w:rsidRPr="003463E1">
        <w:rPr>
          <w:rFonts w:ascii="Roboto" w:hAnsi="Roboto"/>
        </w:rPr>
        <w:t xml:space="preserve">), ale práva související, konkrétně práva výkonných umělců (§ 67 a násl. </w:t>
      </w:r>
      <w:r w:rsidR="002D685B" w:rsidRPr="003463E1">
        <w:rPr>
          <w:rFonts w:ascii="Roboto" w:hAnsi="Roboto"/>
        </w:rPr>
        <w:t>autorského zákona</w:t>
      </w:r>
      <w:r w:rsidRPr="003463E1">
        <w:rPr>
          <w:rFonts w:ascii="Roboto" w:hAnsi="Roboto"/>
        </w:rPr>
        <w:t xml:space="preserve">) a výrobců zvukových </w:t>
      </w:r>
      <w:r w:rsidR="005F0331" w:rsidRPr="003463E1">
        <w:rPr>
          <w:rFonts w:ascii="Roboto" w:hAnsi="Roboto"/>
        </w:rPr>
        <w:t xml:space="preserve">záznamů </w:t>
      </w:r>
      <w:r w:rsidRPr="003463E1">
        <w:rPr>
          <w:rFonts w:ascii="Roboto" w:hAnsi="Roboto"/>
        </w:rPr>
        <w:t xml:space="preserve">(§ 75 a násl. </w:t>
      </w:r>
      <w:r w:rsidR="002D685B" w:rsidRPr="003463E1">
        <w:rPr>
          <w:rFonts w:ascii="Roboto" w:hAnsi="Roboto"/>
        </w:rPr>
        <w:t>autorského zákona</w:t>
      </w:r>
      <w:r w:rsidRPr="003463E1">
        <w:rPr>
          <w:rFonts w:ascii="Roboto" w:hAnsi="Roboto"/>
        </w:rPr>
        <w:t>) a zvukově obrazových</w:t>
      </w:r>
      <w:r w:rsidR="005F0331" w:rsidRPr="003463E1">
        <w:rPr>
          <w:rFonts w:ascii="Roboto" w:hAnsi="Roboto"/>
        </w:rPr>
        <w:t xml:space="preserve"> záznamů</w:t>
      </w:r>
      <w:r w:rsidRPr="003463E1">
        <w:rPr>
          <w:rFonts w:ascii="Roboto" w:hAnsi="Roboto"/>
        </w:rPr>
        <w:t xml:space="preserve"> (§ 79 a násl. </w:t>
      </w:r>
      <w:r w:rsidR="002D685B" w:rsidRPr="003463E1">
        <w:rPr>
          <w:rFonts w:ascii="Roboto" w:hAnsi="Roboto"/>
        </w:rPr>
        <w:t>autorského zákona</w:t>
      </w:r>
      <w:r w:rsidRPr="003463E1">
        <w:rPr>
          <w:rFonts w:ascii="Roboto" w:hAnsi="Roboto"/>
        </w:rPr>
        <w:t xml:space="preserve">). </w:t>
      </w:r>
    </w:p>
    <w:p w14:paraId="2ECD4C5A" w14:textId="64DE3855" w:rsidR="008334E6" w:rsidRPr="003463E1" w:rsidRDefault="008334E6" w:rsidP="00591FDD">
      <w:pPr>
        <w:ind w:right="142"/>
        <w:jc w:val="both"/>
        <w:rPr>
          <w:rFonts w:ascii="Roboto" w:hAnsi="Roboto"/>
        </w:rPr>
      </w:pPr>
      <w:r w:rsidRPr="003463E1">
        <w:rPr>
          <w:rFonts w:ascii="Roboto" w:hAnsi="Roboto"/>
        </w:rPr>
        <w:t xml:space="preserve">Třebaže jsou práva </w:t>
      </w:r>
      <w:r w:rsidR="002D685B" w:rsidRPr="003463E1">
        <w:rPr>
          <w:rFonts w:ascii="Roboto" w:hAnsi="Roboto"/>
        </w:rPr>
        <w:t xml:space="preserve">autorská a práva související </w:t>
      </w:r>
      <w:r w:rsidRPr="003463E1">
        <w:rPr>
          <w:rFonts w:ascii="Roboto" w:hAnsi="Roboto"/>
        </w:rPr>
        <w:t xml:space="preserve">upravena jediným právním předpisem (autorským zákonem), je potřeba je vzájemně odlišovat – to ostatně potvrzuje i samotný § 1 </w:t>
      </w:r>
      <w:r w:rsidR="002D685B" w:rsidRPr="003463E1">
        <w:rPr>
          <w:rFonts w:ascii="Roboto" w:hAnsi="Roboto"/>
        </w:rPr>
        <w:t>autorského zákona</w:t>
      </w:r>
      <w:r w:rsidRPr="003463E1">
        <w:rPr>
          <w:rFonts w:ascii="Roboto" w:hAnsi="Roboto"/>
        </w:rPr>
        <w:t>, který práva související uvádí nikoli jako součást či podmnožinu práv autora k jeho autorskému dílu</w:t>
      </w:r>
      <w:r w:rsidR="005F0331" w:rsidRPr="003463E1">
        <w:rPr>
          <w:rFonts w:ascii="Roboto" w:hAnsi="Roboto"/>
        </w:rPr>
        <w:t xml:space="preserve"> (písm. a) tohoto ustanovení), ale jako práva odlišná (písm. b)), samostatný systém (byť obsahově podobný), který je autorským právům postavený naroveň</w:t>
      </w:r>
      <w:r w:rsidRPr="003463E1">
        <w:rPr>
          <w:rFonts w:ascii="Roboto" w:hAnsi="Roboto"/>
        </w:rPr>
        <w:t>.</w:t>
      </w:r>
    </w:p>
    <w:p w14:paraId="240765E5" w14:textId="77777777" w:rsidR="000D3EB8" w:rsidRPr="003463E1" w:rsidRDefault="000D3EB8" w:rsidP="000D3EB8">
      <w:pPr>
        <w:ind w:right="142"/>
        <w:jc w:val="both"/>
        <w:rPr>
          <w:rFonts w:ascii="Roboto" w:hAnsi="Roboto"/>
          <w:b/>
        </w:rPr>
      </w:pPr>
      <w:r w:rsidRPr="003463E1">
        <w:rPr>
          <w:rFonts w:ascii="Roboto" w:hAnsi="Roboto"/>
          <w:b/>
        </w:rPr>
        <w:t>To znamená, že v dědickém rozhodnutí by měla být ideálně uvedená práva, která po sobě zůstavitel zanechal, a měla by být rozčleněná do následujících kategorií:</w:t>
      </w:r>
    </w:p>
    <w:p w14:paraId="4ADCD211" w14:textId="02A39644" w:rsidR="000D3EB8" w:rsidRPr="003463E1" w:rsidRDefault="000D3EB8" w:rsidP="000D3EB8">
      <w:pPr>
        <w:numPr>
          <w:ilvl w:val="0"/>
          <w:numId w:val="5"/>
        </w:numPr>
        <w:spacing w:after="0"/>
        <w:ind w:right="142"/>
        <w:jc w:val="both"/>
        <w:rPr>
          <w:rFonts w:ascii="Roboto" w:hAnsi="Roboto"/>
        </w:rPr>
      </w:pPr>
      <w:r w:rsidRPr="003463E1">
        <w:rPr>
          <w:rFonts w:ascii="Roboto" w:hAnsi="Roboto"/>
          <w:i/>
        </w:rPr>
        <w:t>práva autorská</w:t>
      </w:r>
      <w:r w:rsidR="007557F9">
        <w:rPr>
          <w:rFonts w:ascii="Roboto" w:hAnsi="Roboto"/>
          <w:i/>
        </w:rPr>
        <w:t xml:space="preserve"> (zde je namístě – je-li to relevantní – zachovat i další členění dle toho, jakého druhu jsou vytvářená díla, a to na díla hudební, literární, výtvarná atp.)</w:t>
      </w:r>
      <w:r w:rsidRPr="003463E1">
        <w:rPr>
          <w:rFonts w:ascii="Roboto" w:hAnsi="Roboto"/>
        </w:rPr>
        <w:t>,</w:t>
      </w:r>
    </w:p>
    <w:p w14:paraId="1473A1C8" w14:textId="77777777" w:rsidR="000D3EB8" w:rsidRPr="003463E1" w:rsidRDefault="000D3EB8" w:rsidP="000D3EB8">
      <w:pPr>
        <w:numPr>
          <w:ilvl w:val="0"/>
          <w:numId w:val="5"/>
        </w:numPr>
        <w:spacing w:after="0"/>
        <w:ind w:right="142"/>
        <w:jc w:val="both"/>
        <w:rPr>
          <w:rFonts w:ascii="Roboto" w:hAnsi="Roboto"/>
          <w:i/>
        </w:rPr>
      </w:pPr>
      <w:r w:rsidRPr="003463E1">
        <w:rPr>
          <w:rFonts w:ascii="Roboto" w:hAnsi="Roboto"/>
          <w:i/>
        </w:rPr>
        <w:t>práva výkonného umělce,</w:t>
      </w:r>
    </w:p>
    <w:p w14:paraId="331233B3" w14:textId="77777777" w:rsidR="000D3EB8" w:rsidRPr="003463E1" w:rsidRDefault="000D3EB8" w:rsidP="000D3EB8">
      <w:pPr>
        <w:numPr>
          <w:ilvl w:val="0"/>
          <w:numId w:val="5"/>
        </w:numPr>
        <w:spacing w:after="0"/>
        <w:ind w:right="142"/>
        <w:jc w:val="both"/>
        <w:rPr>
          <w:rFonts w:ascii="Roboto" w:hAnsi="Roboto"/>
          <w:i/>
        </w:rPr>
      </w:pPr>
      <w:r w:rsidRPr="003463E1">
        <w:rPr>
          <w:rFonts w:ascii="Roboto" w:hAnsi="Roboto"/>
          <w:i/>
        </w:rPr>
        <w:t xml:space="preserve">práva výrobce zvukových záznamů a </w:t>
      </w:r>
    </w:p>
    <w:p w14:paraId="5C561CC9" w14:textId="77777777" w:rsidR="000D3EB8" w:rsidRPr="003463E1" w:rsidRDefault="000D3EB8" w:rsidP="000D3EB8">
      <w:pPr>
        <w:numPr>
          <w:ilvl w:val="0"/>
          <w:numId w:val="5"/>
        </w:numPr>
        <w:spacing w:after="0"/>
        <w:ind w:right="142"/>
        <w:jc w:val="both"/>
        <w:rPr>
          <w:rFonts w:ascii="Roboto" w:hAnsi="Roboto"/>
          <w:i/>
        </w:rPr>
      </w:pPr>
      <w:r w:rsidRPr="003463E1">
        <w:rPr>
          <w:rFonts w:ascii="Roboto" w:hAnsi="Roboto"/>
          <w:i/>
        </w:rPr>
        <w:t>práva výrobce zvukově obrazových záznamů</w:t>
      </w:r>
    </w:p>
    <w:p w14:paraId="673B9FB8" w14:textId="77777777" w:rsidR="000D3EB8" w:rsidRPr="003463E1" w:rsidRDefault="000D3EB8" w:rsidP="000D3EB8">
      <w:pPr>
        <w:spacing w:after="0"/>
        <w:ind w:left="720" w:right="142"/>
        <w:jc w:val="both"/>
        <w:rPr>
          <w:rFonts w:ascii="Roboto" w:hAnsi="Roboto"/>
          <w:i/>
        </w:rPr>
      </w:pPr>
    </w:p>
    <w:p w14:paraId="51BC2BD0" w14:textId="6E9B4526" w:rsidR="000D3EB8" w:rsidRPr="003463E1" w:rsidRDefault="000D3EB8" w:rsidP="000D3EB8">
      <w:pPr>
        <w:ind w:right="142"/>
        <w:jc w:val="both"/>
        <w:rPr>
          <w:rFonts w:ascii="Roboto" w:hAnsi="Roboto"/>
        </w:rPr>
      </w:pPr>
      <w:r w:rsidRPr="003463E1">
        <w:rPr>
          <w:rFonts w:ascii="Roboto" w:hAnsi="Roboto"/>
        </w:rPr>
        <w:t xml:space="preserve">Případně lze kategorie ad 2 – 4 sloučit do kategorie </w:t>
      </w:r>
      <w:r w:rsidRPr="003463E1">
        <w:rPr>
          <w:rFonts w:ascii="Roboto" w:hAnsi="Roboto"/>
          <w:i/>
        </w:rPr>
        <w:t>práva související s právem autorským</w:t>
      </w:r>
    </w:p>
    <w:p w14:paraId="320200BE" w14:textId="77777777" w:rsidR="000D3EB8" w:rsidRPr="003463E1" w:rsidRDefault="000D3EB8" w:rsidP="000D3EB8">
      <w:pPr>
        <w:pStyle w:val="Odstavecseseznamem"/>
        <w:ind w:left="0"/>
        <w:contextualSpacing w:val="0"/>
        <w:jc w:val="both"/>
        <w:rPr>
          <w:rFonts w:ascii="Roboto" w:hAnsi="Roboto"/>
        </w:rPr>
      </w:pPr>
    </w:p>
    <w:p w14:paraId="11E33964" w14:textId="740A8839" w:rsidR="000D3EB8" w:rsidRPr="003463E1" w:rsidRDefault="000D3EB8" w:rsidP="000D3EB8">
      <w:pPr>
        <w:rPr>
          <w:rFonts w:ascii="Roboto" w:hAnsi="Roboto"/>
        </w:rPr>
      </w:pPr>
      <w:proofErr w:type="spellStart"/>
      <w:r w:rsidRPr="003463E1">
        <w:rPr>
          <w:rFonts w:ascii="Roboto" w:hAnsi="Roboto"/>
          <w:b/>
          <w:u w:val="single"/>
        </w:rPr>
        <w:t>Neocenitelnost</w:t>
      </w:r>
      <w:proofErr w:type="spellEnd"/>
      <w:r w:rsidRPr="003463E1">
        <w:rPr>
          <w:rFonts w:ascii="Roboto" w:hAnsi="Roboto"/>
          <w:b/>
          <w:u w:val="single"/>
        </w:rPr>
        <w:t xml:space="preserve"> majetkových práv vs. vydání majetku nepatrné hodnoty </w:t>
      </w:r>
      <w:proofErr w:type="spellStart"/>
      <w:r w:rsidRPr="003463E1">
        <w:rPr>
          <w:rFonts w:ascii="Roboto" w:hAnsi="Roboto"/>
          <w:b/>
          <w:u w:val="single"/>
        </w:rPr>
        <w:t>vypraviteli</w:t>
      </w:r>
      <w:proofErr w:type="spellEnd"/>
      <w:r w:rsidRPr="003463E1">
        <w:rPr>
          <w:rFonts w:ascii="Roboto" w:hAnsi="Roboto"/>
          <w:b/>
          <w:u w:val="single"/>
        </w:rPr>
        <w:t xml:space="preserve"> pohřbu</w:t>
      </w:r>
    </w:p>
    <w:p w14:paraId="548F6BFF" w14:textId="77777777" w:rsidR="00694D7A" w:rsidRDefault="002D685B" w:rsidP="000D3EB8">
      <w:pPr>
        <w:pStyle w:val="Odstavecseseznamem"/>
        <w:ind w:left="0"/>
        <w:contextualSpacing w:val="0"/>
        <w:jc w:val="both"/>
        <w:rPr>
          <w:rFonts w:ascii="Roboto" w:hAnsi="Roboto" w:cs="Calibri"/>
          <w:iCs/>
          <w:color w:val="000000"/>
        </w:rPr>
      </w:pPr>
      <w:r w:rsidRPr="003463E1">
        <w:rPr>
          <w:rFonts w:ascii="Roboto" w:hAnsi="Roboto"/>
        </w:rPr>
        <w:t>Autorský z</w:t>
      </w:r>
      <w:r w:rsidR="005C1731" w:rsidRPr="003463E1">
        <w:rPr>
          <w:rFonts w:ascii="Roboto" w:hAnsi="Roboto"/>
        </w:rPr>
        <w:t xml:space="preserve">ákon v </w:t>
      </w:r>
      <w:r w:rsidR="005C1731" w:rsidRPr="003463E1">
        <w:rPr>
          <w:rFonts w:ascii="Roboto" w:hAnsi="Roboto" w:cs="Calibri"/>
          <w:iCs/>
          <w:color w:val="000000"/>
        </w:rPr>
        <w:t xml:space="preserve">§ 26 odst. 1 dále stanoví, že majetková práva autorská a práva výkonných umělců jsou nepřevoditelná a dle ustanovení § 17 odst. 5 zákona č. 151/1997 Sb., </w:t>
      </w:r>
      <w:r w:rsidR="007B314A" w:rsidRPr="003463E1">
        <w:rPr>
          <w:rFonts w:ascii="Roboto" w:hAnsi="Roboto" w:cs="Calibri"/>
          <w:iCs/>
          <w:color w:val="000000"/>
        </w:rPr>
        <w:t xml:space="preserve">o </w:t>
      </w:r>
      <w:r w:rsidR="005C1731" w:rsidRPr="003463E1">
        <w:rPr>
          <w:rFonts w:ascii="Roboto" w:hAnsi="Roboto" w:cs="Calibri"/>
          <w:iCs/>
          <w:color w:val="000000"/>
        </w:rPr>
        <w:t xml:space="preserve">oceňování majetku se jakožto nepřevoditelná práva neoceňují. Z toho vplývá, že majetková práva autora a majetková práva výkonných umělců nelze v rámci řízení o pozůstalosti vydat zůstaviteli pohřbu jakožto majetek nepatrné hodnoty, ve smyslu § 154 zákona č. 292/2013 Sb. o zvláštních řízeních </w:t>
      </w:r>
      <w:r w:rsidR="005C1731" w:rsidRPr="003463E1">
        <w:rPr>
          <w:rFonts w:ascii="Roboto" w:hAnsi="Roboto" w:cs="Calibri"/>
          <w:iCs/>
          <w:color w:val="000000"/>
        </w:rPr>
        <w:lastRenderedPageBreak/>
        <w:t>soudních.</w:t>
      </w:r>
      <w:r w:rsidR="00056A74" w:rsidRPr="003463E1">
        <w:rPr>
          <w:rFonts w:ascii="Roboto" w:hAnsi="Roboto" w:cs="Calibri"/>
          <w:iCs/>
          <w:color w:val="000000"/>
        </w:rPr>
        <w:t xml:space="preserve"> K tomu si dovolím Vás odkázat na komentáře k autorskému zákonu nakladatelství </w:t>
      </w:r>
      <w:proofErr w:type="spellStart"/>
      <w:r w:rsidR="00056A74" w:rsidRPr="003463E1">
        <w:rPr>
          <w:rFonts w:ascii="Roboto" w:hAnsi="Roboto" w:cs="Calibri"/>
          <w:iCs/>
          <w:color w:val="000000"/>
        </w:rPr>
        <w:t>Leges</w:t>
      </w:r>
      <w:proofErr w:type="spellEnd"/>
      <w:r w:rsidR="00056A74" w:rsidRPr="003463E1">
        <w:rPr>
          <w:rFonts w:ascii="Roboto" w:hAnsi="Roboto" w:cs="Calibri"/>
          <w:iCs/>
          <w:color w:val="000000"/>
          <w:vertAlign w:val="superscript"/>
        </w:rPr>
        <w:footnoteReference w:id="1"/>
      </w:r>
      <w:r w:rsidR="00056A74" w:rsidRPr="003463E1">
        <w:rPr>
          <w:rFonts w:ascii="Roboto" w:hAnsi="Roboto" w:cs="Calibri"/>
          <w:iCs/>
          <w:color w:val="000000"/>
        </w:rPr>
        <w:t xml:space="preserve"> a C. H. Beck</w:t>
      </w:r>
      <w:r w:rsidR="00056A74" w:rsidRPr="003463E1">
        <w:rPr>
          <w:rFonts w:ascii="Roboto" w:hAnsi="Roboto" w:cs="Calibri"/>
          <w:iCs/>
          <w:color w:val="000000"/>
          <w:vertAlign w:val="superscript"/>
        </w:rPr>
        <w:footnoteReference w:id="2"/>
      </w:r>
      <w:r w:rsidR="00056A74" w:rsidRPr="003463E1">
        <w:rPr>
          <w:rFonts w:ascii="Roboto" w:hAnsi="Roboto" w:cs="Calibri"/>
          <w:iCs/>
          <w:color w:val="000000"/>
        </w:rPr>
        <w:t>, které nezávisle na sobě docházejí ke shodným závěrům.</w:t>
      </w:r>
    </w:p>
    <w:p w14:paraId="2FEA675C" w14:textId="7ACD6764" w:rsidR="00694D7A" w:rsidRPr="003463E1" w:rsidRDefault="00694D7A" w:rsidP="00591FDD">
      <w:pPr>
        <w:jc w:val="both"/>
        <w:rPr>
          <w:rFonts w:ascii="Roboto" w:hAnsi="Roboto" w:cs="Calibri"/>
          <w:iCs/>
          <w:color w:val="000000"/>
        </w:rPr>
      </w:pPr>
      <w:r w:rsidRPr="003463E1">
        <w:rPr>
          <w:rFonts w:ascii="Roboto" w:hAnsi="Roboto" w:cs="Calibri"/>
          <w:iCs/>
          <w:color w:val="000000"/>
        </w:rPr>
        <w:t>Okolnost, že se uvedená práva neoceňují nelze vykládat tak, že jejich hodnota je nula. Stejně jako nelze v matematice, v intencích reálných čísel, dělit jakékoli číslo nulou, nelze neocenitelná práva považovat za věci nepatrné hodnoty. Takový postup je evidentně nesprávný.</w:t>
      </w:r>
    </w:p>
    <w:p w14:paraId="0E483C6D" w14:textId="39C9DAD1" w:rsidR="000D3EB8" w:rsidRDefault="000D3EB8" w:rsidP="000D3EB8">
      <w:pPr>
        <w:jc w:val="both"/>
        <w:rPr>
          <w:rFonts w:ascii="Roboto" w:hAnsi="Roboto" w:cs="Calibri"/>
          <w:b/>
          <w:iCs/>
          <w:color w:val="000000"/>
        </w:rPr>
      </w:pPr>
      <w:r w:rsidRPr="003463E1">
        <w:rPr>
          <w:rFonts w:ascii="Roboto" w:hAnsi="Roboto" w:cs="Calibri"/>
          <w:b/>
          <w:iCs/>
          <w:color w:val="000000"/>
        </w:rPr>
        <w:t xml:space="preserve">Jestliže se proto na INTERGRAM obrátí dědic se žádostí o uzavření Smlouvy o </w:t>
      </w:r>
      <w:r w:rsidR="00BE3122">
        <w:rPr>
          <w:rFonts w:ascii="Roboto" w:hAnsi="Roboto" w:cs="Calibri"/>
          <w:b/>
          <w:iCs/>
          <w:color w:val="000000"/>
        </w:rPr>
        <w:t>správě práv</w:t>
      </w:r>
      <w:r w:rsidRPr="003463E1">
        <w:rPr>
          <w:rFonts w:ascii="Roboto" w:hAnsi="Roboto" w:cs="Calibri"/>
          <w:b/>
          <w:iCs/>
          <w:color w:val="000000"/>
        </w:rPr>
        <w:t xml:space="preserve">, nemůže s ním být taková smlouva uzavřena, pokud dědické rozhodnutí má formu </w:t>
      </w:r>
      <w:r w:rsidRPr="00480308">
        <w:rPr>
          <w:rFonts w:ascii="Roboto" w:hAnsi="Roboto" w:cs="Calibri"/>
          <w:b/>
          <w:i/>
          <w:iCs/>
          <w:color w:val="000000"/>
        </w:rPr>
        <w:t xml:space="preserve">usnesení </w:t>
      </w:r>
      <w:r w:rsidR="00480308" w:rsidRPr="00480308">
        <w:rPr>
          <w:rFonts w:ascii="Roboto" w:hAnsi="Roboto" w:cs="Calibri"/>
          <w:b/>
          <w:i/>
          <w:iCs/>
          <w:color w:val="000000"/>
        </w:rPr>
        <w:t xml:space="preserve">o </w:t>
      </w:r>
      <w:r w:rsidRPr="00480308">
        <w:rPr>
          <w:rFonts w:ascii="Roboto" w:hAnsi="Roboto" w:cs="Calibri"/>
          <w:b/>
          <w:i/>
          <w:iCs/>
          <w:color w:val="000000"/>
        </w:rPr>
        <w:t xml:space="preserve">zastavení řízení a vydání majetku nepatrné hodnoty </w:t>
      </w:r>
      <w:proofErr w:type="spellStart"/>
      <w:r w:rsidRPr="00480308">
        <w:rPr>
          <w:rFonts w:ascii="Roboto" w:hAnsi="Roboto" w:cs="Calibri"/>
          <w:b/>
          <w:i/>
          <w:iCs/>
          <w:color w:val="000000"/>
        </w:rPr>
        <w:t>vypraviteli</w:t>
      </w:r>
      <w:proofErr w:type="spellEnd"/>
      <w:r w:rsidRPr="00480308">
        <w:rPr>
          <w:rFonts w:ascii="Roboto" w:hAnsi="Roboto" w:cs="Calibri"/>
          <w:b/>
          <w:i/>
          <w:iCs/>
          <w:color w:val="000000"/>
        </w:rPr>
        <w:t xml:space="preserve"> pohřbu</w:t>
      </w:r>
      <w:r w:rsidRPr="003463E1">
        <w:rPr>
          <w:rFonts w:ascii="Roboto" w:hAnsi="Roboto" w:cs="Calibri"/>
          <w:b/>
          <w:iCs/>
          <w:color w:val="000000"/>
        </w:rPr>
        <w:t xml:space="preserve">. </w:t>
      </w:r>
    </w:p>
    <w:p w14:paraId="7EDCBF6F" w14:textId="512F00FC" w:rsidR="00480308" w:rsidRPr="00480308" w:rsidRDefault="00480308" w:rsidP="000D3EB8">
      <w:pPr>
        <w:jc w:val="both"/>
        <w:rPr>
          <w:rFonts w:ascii="Roboto" w:hAnsi="Roboto" w:cs="Calibri"/>
          <w:iCs/>
          <w:color w:val="000000"/>
        </w:rPr>
      </w:pPr>
      <w:r w:rsidRPr="00480308">
        <w:rPr>
          <w:rFonts w:ascii="Roboto" w:hAnsi="Roboto" w:cs="Calibri"/>
          <w:iCs/>
          <w:color w:val="000000"/>
        </w:rPr>
        <w:t xml:space="preserve">Tento právní názor má INTERGRAM </w:t>
      </w:r>
      <w:r w:rsidR="00CD1CEB">
        <w:rPr>
          <w:rFonts w:ascii="Roboto" w:hAnsi="Roboto" w:cs="Calibri"/>
          <w:iCs/>
          <w:color w:val="000000"/>
        </w:rPr>
        <w:t xml:space="preserve">soudně </w:t>
      </w:r>
      <w:r w:rsidRPr="00480308">
        <w:rPr>
          <w:rFonts w:ascii="Roboto" w:hAnsi="Roboto" w:cs="Calibri"/>
          <w:iCs/>
          <w:color w:val="000000"/>
        </w:rPr>
        <w:t>podložený.</w:t>
      </w:r>
    </w:p>
    <w:p w14:paraId="5359605F" w14:textId="77777777" w:rsidR="00A71A90" w:rsidRPr="003463E1" w:rsidRDefault="00A71A90" w:rsidP="00591FDD">
      <w:pPr>
        <w:jc w:val="both"/>
        <w:rPr>
          <w:rFonts w:ascii="Roboto" w:hAnsi="Roboto" w:cs="Calibri"/>
          <w:iCs/>
          <w:color w:val="000000"/>
        </w:rPr>
      </w:pPr>
    </w:p>
    <w:p w14:paraId="2A1B16CA" w14:textId="2A7C2998" w:rsidR="000D3EB8" w:rsidRPr="003463E1" w:rsidRDefault="00BE3122" w:rsidP="000D3EB8">
      <w:pPr>
        <w:jc w:val="both"/>
        <w:rPr>
          <w:rFonts w:ascii="Roboto" w:hAnsi="Roboto" w:cs="Calibri"/>
          <w:b/>
          <w:iCs/>
          <w:color w:val="000000"/>
          <w:u w:val="single"/>
        </w:rPr>
      </w:pPr>
      <w:r>
        <w:rPr>
          <w:rFonts w:ascii="Roboto" w:hAnsi="Roboto" w:cs="Calibri"/>
          <w:b/>
          <w:iCs/>
          <w:color w:val="000000"/>
          <w:u w:val="single"/>
        </w:rPr>
        <w:t xml:space="preserve">Formulace </w:t>
      </w:r>
      <w:r w:rsidR="000D3EB8" w:rsidRPr="003463E1">
        <w:rPr>
          <w:rFonts w:ascii="Roboto" w:hAnsi="Roboto" w:cs="Calibri"/>
          <w:b/>
          <w:iCs/>
          <w:color w:val="000000"/>
          <w:u w:val="single"/>
        </w:rPr>
        <w:t>majetkových práv</w:t>
      </w:r>
      <w:r>
        <w:rPr>
          <w:rFonts w:ascii="Roboto" w:hAnsi="Roboto" w:cs="Calibri"/>
          <w:b/>
          <w:iCs/>
          <w:color w:val="000000"/>
          <w:u w:val="single"/>
        </w:rPr>
        <w:t xml:space="preserve"> v dědickém usnesení, výnosy a dílčí pohledávky z nich plynoucí</w:t>
      </w:r>
    </w:p>
    <w:p w14:paraId="6E1C6A4D" w14:textId="534D6D46" w:rsidR="00BE3122" w:rsidRPr="00BE3122" w:rsidRDefault="00BE3122" w:rsidP="00BE3122">
      <w:pPr>
        <w:jc w:val="both"/>
        <w:rPr>
          <w:rFonts w:ascii="Roboto" w:eastAsia="Calibri" w:hAnsi="Roboto" w:cs="Times New Roman"/>
        </w:rPr>
      </w:pPr>
      <w:r>
        <w:rPr>
          <w:rFonts w:ascii="Roboto" w:eastAsia="Calibri" w:hAnsi="Roboto" w:cs="Times New Roman"/>
        </w:rPr>
        <w:t>P</w:t>
      </w:r>
      <w:r w:rsidRPr="00BE3122">
        <w:rPr>
          <w:rFonts w:ascii="Roboto" w:eastAsia="Calibri" w:hAnsi="Roboto" w:cs="Times New Roman"/>
        </w:rPr>
        <w:t xml:space="preserve">okud majetková práva po výkonném umělci zdědí vícero dědiců (viz § 26 odst. 2, ve spojení s § 74 zákona č.121/2000 Sb., autorský zákon, ve znění pozdějších předpisů, dále jen „AZ“), použijí se na jejich vzájemné vztahy ustanovení o spoluautorství (§ 8 AZ). To znamená, že </w:t>
      </w:r>
      <w:r w:rsidRPr="00BE3122">
        <w:rPr>
          <w:rFonts w:ascii="Roboto" w:eastAsia="Calibri" w:hAnsi="Roboto" w:cs="Times New Roman"/>
          <w:b/>
          <w:bCs/>
        </w:rPr>
        <w:t>práva a povinnosti vycházející z dispozice s dílem (výkonem</w:t>
      </w:r>
      <w:r>
        <w:rPr>
          <w:rFonts w:ascii="Roboto" w:eastAsia="Calibri" w:hAnsi="Roboto" w:cs="Times New Roman"/>
          <w:b/>
          <w:bCs/>
        </w:rPr>
        <w:t>, záznamem</w:t>
      </w:r>
      <w:r w:rsidRPr="00BE3122">
        <w:rPr>
          <w:rFonts w:ascii="Roboto" w:eastAsia="Calibri" w:hAnsi="Roboto" w:cs="Times New Roman"/>
          <w:b/>
          <w:bCs/>
        </w:rPr>
        <w:t xml:space="preserve">) svědčí všem dědicům </w:t>
      </w:r>
      <w:r w:rsidRPr="00BE3122">
        <w:rPr>
          <w:rFonts w:ascii="Roboto" w:eastAsia="Calibri" w:hAnsi="Roboto" w:cs="Times New Roman"/>
          <w:b/>
          <w:bCs/>
          <w:u w:val="single"/>
        </w:rPr>
        <w:t>společně a nerozdílně</w:t>
      </w:r>
      <w:r w:rsidRPr="00BE3122">
        <w:rPr>
          <w:rFonts w:ascii="Roboto" w:eastAsia="Calibri" w:hAnsi="Roboto" w:cs="Times New Roman"/>
        </w:rPr>
        <w:t xml:space="preserve"> a nelze je proto v dědickém usnesení rozdělit na podíly, které by připadly jednotlivým dědicům. </w:t>
      </w:r>
    </w:p>
    <w:p w14:paraId="532702CF" w14:textId="64FCD7FC" w:rsidR="00BE3122" w:rsidRPr="00BE3122" w:rsidRDefault="00BE3122" w:rsidP="00BE3122">
      <w:pPr>
        <w:jc w:val="both"/>
        <w:rPr>
          <w:rFonts w:ascii="Roboto" w:eastAsia="Calibri" w:hAnsi="Roboto" w:cs="Times New Roman"/>
        </w:rPr>
      </w:pPr>
      <w:r w:rsidRPr="00BE3122">
        <w:rPr>
          <w:rFonts w:ascii="Roboto" w:eastAsia="Calibri" w:hAnsi="Roboto" w:cs="Times New Roman"/>
        </w:rPr>
        <w:t xml:space="preserve">K tomu lze </w:t>
      </w:r>
      <w:r w:rsidR="00732D6C">
        <w:rPr>
          <w:rFonts w:ascii="Roboto" w:eastAsia="Calibri" w:hAnsi="Roboto" w:cs="Times New Roman"/>
        </w:rPr>
        <w:t xml:space="preserve">dále </w:t>
      </w:r>
      <w:r w:rsidRPr="00BE3122">
        <w:rPr>
          <w:rFonts w:ascii="Roboto" w:eastAsia="Calibri" w:hAnsi="Roboto" w:cs="Times New Roman"/>
        </w:rPr>
        <w:t xml:space="preserve">uvést, že ustanovení § 26 odst. 1 AZ stanovuje, že shora uvedené se nevztahuje na pohledávky z majetkových práv vyplývající. </w:t>
      </w:r>
      <w:r w:rsidRPr="00BE3122">
        <w:rPr>
          <w:rFonts w:ascii="Roboto" w:eastAsia="Calibri" w:hAnsi="Roboto" w:cs="Times New Roman"/>
          <w:color w:val="000000"/>
        </w:rPr>
        <w:t>Ty mají stejnou povahu jako každá jiná pohledávka.</w:t>
      </w:r>
      <w:r w:rsidRPr="00BE3122">
        <w:rPr>
          <w:rFonts w:ascii="Roboto" w:eastAsia="Calibri" w:hAnsi="Roboto" w:cs="Times New Roman"/>
        </w:rPr>
        <w:t xml:space="preserve"> To znamená, že </w:t>
      </w:r>
      <w:r w:rsidRPr="00BE3122">
        <w:rPr>
          <w:rFonts w:ascii="Roboto" w:eastAsia="Calibri" w:hAnsi="Roboto" w:cs="Times New Roman"/>
          <w:b/>
          <w:bCs/>
          <w:u w:val="single"/>
        </w:rPr>
        <w:t>výnosy a jednotlivé pohledávky</w:t>
      </w:r>
      <w:r w:rsidRPr="00BE3122">
        <w:rPr>
          <w:rFonts w:ascii="Roboto" w:eastAsia="Calibri" w:hAnsi="Roboto" w:cs="Times New Roman"/>
        </w:rPr>
        <w:t xml:space="preserve"> z těchto práv vyplývající</w:t>
      </w:r>
      <w:r>
        <w:rPr>
          <w:rFonts w:ascii="Roboto" w:eastAsia="Calibri" w:hAnsi="Roboto" w:cs="Times New Roman"/>
        </w:rPr>
        <w:t xml:space="preserve"> </w:t>
      </w:r>
      <w:r w:rsidRPr="00BE3122">
        <w:rPr>
          <w:rFonts w:ascii="Roboto" w:eastAsia="Calibri" w:hAnsi="Roboto" w:cs="Times New Roman"/>
        </w:rPr>
        <w:t xml:space="preserve">(dílčí pohledávkou je např. odměna od INTERGRAM za rok X) </w:t>
      </w:r>
      <w:r w:rsidRPr="00BE3122">
        <w:rPr>
          <w:rFonts w:ascii="Roboto" w:eastAsia="Calibri" w:hAnsi="Roboto" w:cs="Times New Roman"/>
          <w:b/>
          <w:bCs/>
          <w:u w:val="single"/>
        </w:rPr>
        <w:t>na podíly dělit lze</w:t>
      </w:r>
      <w:r w:rsidRPr="00BE3122">
        <w:rPr>
          <w:rFonts w:ascii="Roboto" w:eastAsia="Calibri" w:hAnsi="Roboto" w:cs="Times New Roman"/>
        </w:rPr>
        <w:t xml:space="preserve">.  </w:t>
      </w:r>
    </w:p>
    <w:p w14:paraId="15BFA0E6" w14:textId="77777777" w:rsidR="005C1731" w:rsidRPr="003463E1" w:rsidRDefault="005C1731" w:rsidP="00591FDD">
      <w:pPr>
        <w:ind w:right="142"/>
        <w:jc w:val="both"/>
        <w:rPr>
          <w:rFonts w:ascii="Roboto" w:hAnsi="Roboto" w:cs="Calibri"/>
          <w:iCs/>
          <w:color w:val="000000"/>
        </w:rPr>
      </w:pPr>
    </w:p>
    <w:p w14:paraId="738C4B67" w14:textId="5A117E1F" w:rsidR="005C1731" w:rsidRPr="003463E1" w:rsidRDefault="005C1731" w:rsidP="00591FDD">
      <w:pPr>
        <w:ind w:right="142"/>
        <w:jc w:val="both"/>
        <w:rPr>
          <w:rFonts w:ascii="Roboto" w:hAnsi="Roboto"/>
          <w:b/>
        </w:rPr>
      </w:pPr>
      <w:r w:rsidRPr="003463E1">
        <w:rPr>
          <w:rFonts w:ascii="Roboto" w:hAnsi="Roboto" w:cs="Calibri"/>
          <w:b/>
          <w:iCs/>
          <w:color w:val="000000"/>
        </w:rPr>
        <w:t xml:space="preserve">V případě, že se na INTERGRAM obrátí dědic se žádostí o uzavření </w:t>
      </w:r>
      <w:r w:rsidR="007B314A" w:rsidRPr="003463E1">
        <w:rPr>
          <w:rFonts w:ascii="Roboto" w:hAnsi="Roboto" w:cs="Calibri"/>
          <w:b/>
          <w:iCs/>
          <w:color w:val="000000"/>
        </w:rPr>
        <w:t>S</w:t>
      </w:r>
      <w:r w:rsidRPr="003463E1">
        <w:rPr>
          <w:rFonts w:ascii="Roboto" w:hAnsi="Roboto" w:cs="Calibri"/>
          <w:b/>
          <w:iCs/>
          <w:color w:val="000000"/>
        </w:rPr>
        <w:t xml:space="preserve">mlouvy o </w:t>
      </w:r>
      <w:r w:rsidR="001D511D">
        <w:rPr>
          <w:rFonts w:ascii="Roboto" w:hAnsi="Roboto" w:cs="Calibri"/>
          <w:b/>
          <w:iCs/>
          <w:color w:val="000000"/>
        </w:rPr>
        <w:t>správě práv</w:t>
      </w:r>
      <w:r w:rsidRPr="003463E1">
        <w:rPr>
          <w:rFonts w:ascii="Roboto" w:hAnsi="Roboto" w:cs="Calibri"/>
          <w:b/>
          <w:iCs/>
          <w:color w:val="000000"/>
        </w:rPr>
        <w:t xml:space="preserve">, </w:t>
      </w:r>
      <w:r w:rsidR="007B314A" w:rsidRPr="003463E1">
        <w:rPr>
          <w:rFonts w:ascii="Roboto" w:hAnsi="Roboto" w:cs="Calibri"/>
          <w:b/>
          <w:iCs/>
          <w:color w:val="000000"/>
        </w:rPr>
        <w:t xml:space="preserve">nemůže </w:t>
      </w:r>
      <w:r w:rsidRPr="003463E1">
        <w:rPr>
          <w:rFonts w:ascii="Roboto" w:hAnsi="Roboto" w:cs="Calibri"/>
          <w:b/>
          <w:iCs/>
          <w:color w:val="000000"/>
        </w:rPr>
        <w:t xml:space="preserve">s ním </w:t>
      </w:r>
      <w:r w:rsidR="007B314A" w:rsidRPr="003463E1">
        <w:rPr>
          <w:rFonts w:ascii="Roboto" w:hAnsi="Roboto" w:cs="Calibri"/>
          <w:b/>
          <w:iCs/>
          <w:color w:val="000000"/>
        </w:rPr>
        <w:t xml:space="preserve">být taková smlouva </w:t>
      </w:r>
      <w:r w:rsidRPr="003463E1">
        <w:rPr>
          <w:rFonts w:ascii="Roboto" w:hAnsi="Roboto" w:cs="Calibri"/>
          <w:b/>
          <w:iCs/>
          <w:color w:val="000000"/>
        </w:rPr>
        <w:t xml:space="preserve">uzavřena, pokud dědické rozhodnutí nesplňuje výše uvedené náležitosti. V takovém případě je dědic vyzván, aby požádal soudního komisaře o vydání opravného usnesení. </w:t>
      </w:r>
    </w:p>
    <w:p w14:paraId="5218A9F6" w14:textId="77777777" w:rsidR="005C1731" w:rsidRPr="003463E1" w:rsidRDefault="005C1731" w:rsidP="005C1731">
      <w:pPr>
        <w:rPr>
          <w:rFonts w:ascii="Roboto" w:hAnsi="Roboto"/>
        </w:rPr>
      </w:pPr>
    </w:p>
    <w:sectPr w:rsidR="005C1731" w:rsidRPr="003463E1" w:rsidSect="00BB4E4E">
      <w:headerReference w:type="default" r:id="rId7"/>
      <w:footerReference w:type="default" r:id="rId8"/>
      <w:pgSz w:w="11906" w:h="16838"/>
      <w:pgMar w:top="1702" w:right="1133" w:bottom="1560" w:left="1134" w:header="568" w:footer="3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8BBF2" w14:textId="77777777" w:rsidR="00BB4E4E" w:rsidRDefault="00BB4E4E" w:rsidP="007346E9">
      <w:pPr>
        <w:spacing w:after="0" w:line="240" w:lineRule="auto"/>
      </w:pPr>
      <w:r>
        <w:separator/>
      </w:r>
    </w:p>
  </w:endnote>
  <w:endnote w:type="continuationSeparator" w:id="0">
    <w:p w14:paraId="0C83453E" w14:textId="77777777" w:rsidR="00BB4E4E" w:rsidRDefault="00BB4E4E" w:rsidP="00734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A6EB3D9-2791-4912-BC2E-819368C826C5}"/>
    <w:embedBold r:id="rId2" w:fontKey="{1105AC44-87B8-4F19-80EA-0F1D21E4AFC0}"/>
    <w:embedItalic r:id="rId3" w:fontKey="{77265203-9330-4E91-A61B-A0FF7E9D5175}"/>
    <w:embedBoldItalic r:id="rId4" w:fontKey="{A23454A3-A139-4E7C-A879-B96AAFEF685F}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5" w:fontKey="{D5482FD9-CBBA-46D2-B3A6-614BA8261936}"/>
    <w:embedBold r:id="rId6" w:fontKey="{4185A697-167D-469C-AC09-27E2865C57A3}"/>
    <w:embedItalic r:id="rId7" w:fontKey="{86572570-32D7-4054-9D67-23B53100295B}"/>
    <w:embedBoldItalic r:id="rId8" w:fontKey="{2BD06642-4053-41F5-9511-3955B2A401A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6D1358D5-4728-4C2F-B7EC-972A7EF0E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40F56" w14:textId="0AA47CB9" w:rsidR="00E86EFD" w:rsidRPr="00210304" w:rsidRDefault="00FF35FE" w:rsidP="00A87258">
    <w:pPr>
      <w:pStyle w:val="Zpat"/>
      <w:jc w:val="center"/>
      <w:rPr>
        <w:rFonts w:ascii="Roboto" w:hAnsi="Roboto"/>
        <w:b/>
        <w:color w:val="046FA4"/>
      </w:rPr>
    </w:pPr>
    <w:r w:rsidRPr="00210304">
      <w:rPr>
        <w:rFonts w:ascii="Roboto" w:hAnsi="Roboto"/>
        <w:noProof/>
        <w:color w:val="046FA4"/>
        <w:lang w:eastAsia="cs-CZ"/>
      </w:rPr>
      <w:drawing>
        <wp:anchor distT="152400" distB="152400" distL="152400" distR="152400" simplePos="0" relativeHeight="251662336" behindDoc="0" locked="0" layoutInCell="1" allowOverlap="1" wp14:anchorId="22E1F0B0" wp14:editId="33943E85">
          <wp:simplePos x="0" y="0"/>
          <wp:positionH relativeFrom="margin">
            <wp:posOffset>595</wp:posOffset>
          </wp:positionH>
          <wp:positionV relativeFrom="page">
            <wp:posOffset>9651365</wp:posOffset>
          </wp:positionV>
          <wp:extent cx="6123940" cy="312269"/>
          <wp:effectExtent l="0" t="0" r="0" b="0"/>
          <wp:wrapNone/>
          <wp:docPr id="1073741944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lavickovy-papir-03-logo-dole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3940" cy="31226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F50164" w14:textId="77777777" w:rsidR="00E86EFD" w:rsidRPr="00210304" w:rsidRDefault="00E86EFD" w:rsidP="00A87258">
    <w:pPr>
      <w:pStyle w:val="Zpat"/>
      <w:jc w:val="center"/>
      <w:rPr>
        <w:rFonts w:ascii="Roboto" w:hAnsi="Roboto"/>
        <w:b/>
        <w:color w:val="046FA4"/>
      </w:rPr>
    </w:pPr>
  </w:p>
  <w:p w14:paraId="06457748" w14:textId="4A3C6967" w:rsidR="00A87258" w:rsidRPr="00210304" w:rsidRDefault="00A87258" w:rsidP="00A87258">
    <w:pPr>
      <w:pStyle w:val="Zpat"/>
      <w:jc w:val="center"/>
      <w:rPr>
        <w:rFonts w:ascii="Roboto" w:hAnsi="Roboto"/>
        <w:b/>
        <w:color w:val="046FA4"/>
      </w:rPr>
    </w:pPr>
  </w:p>
  <w:tbl>
    <w:tblPr>
      <w:tblStyle w:val="Mkatabulky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single" w:sz="4" w:space="0" w:color="046FA4"/>
      </w:tblBorders>
      <w:tblLook w:val="04A0" w:firstRow="1" w:lastRow="0" w:firstColumn="1" w:lastColumn="0" w:noHBand="0" w:noVBand="1"/>
    </w:tblPr>
    <w:tblGrid>
      <w:gridCol w:w="2919"/>
      <w:gridCol w:w="2326"/>
      <w:gridCol w:w="2850"/>
      <w:gridCol w:w="1544"/>
    </w:tblGrid>
    <w:tr w:rsidR="000F40E5" w:rsidRPr="00210304" w14:paraId="6F61711E" w14:textId="77777777" w:rsidTr="00A9104D">
      <w:trPr>
        <w:trHeight w:val="436"/>
      </w:trPr>
      <w:tc>
        <w:tcPr>
          <w:tcW w:w="2919" w:type="dxa"/>
        </w:tcPr>
        <w:p w14:paraId="16A9EFFE" w14:textId="315F39F8" w:rsidR="00E86EFD" w:rsidRPr="00210304" w:rsidRDefault="00E86EFD" w:rsidP="002403AC">
          <w:pPr>
            <w:pStyle w:val="Zpat"/>
            <w:rPr>
              <w:rFonts w:ascii="Roboto" w:hAnsi="Roboto"/>
              <w:color w:val="046FA4"/>
              <w:sz w:val="16"/>
              <w:szCs w:val="16"/>
            </w:rPr>
          </w:pPr>
          <w:r w:rsidRPr="00210304">
            <w:rPr>
              <w:rFonts w:ascii="Roboto" w:hAnsi="Roboto"/>
              <w:color w:val="046FA4"/>
              <w:sz w:val="16"/>
              <w:szCs w:val="16"/>
            </w:rPr>
            <w:t>Klimentská 1207/10, 110 00 Praha 1</w:t>
          </w:r>
        </w:p>
        <w:p w14:paraId="6DE57FBF" w14:textId="6205B997" w:rsidR="00E86EFD" w:rsidRPr="00210304" w:rsidRDefault="00EA0CF3" w:rsidP="002403AC">
          <w:pPr>
            <w:pStyle w:val="Zpat"/>
            <w:rPr>
              <w:rFonts w:ascii="Roboto" w:hAnsi="Roboto"/>
              <w:color w:val="046FA4"/>
              <w:sz w:val="16"/>
              <w:szCs w:val="16"/>
            </w:rPr>
          </w:pPr>
          <w:r w:rsidRPr="00210304">
            <w:rPr>
              <w:rFonts w:ascii="Roboto" w:hAnsi="Roboto"/>
              <w:color w:val="046FA4"/>
              <w:sz w:val="16"/>
              <w:szCs w:val="16"/>
            </w:rPr>
            <w:t>Tel.: 221 871 97</w:t>
          </w:r>
          <w:r w:rsidR="00E86EFD" w:rsidRPr="00210304">
            <w:rPr>
              <w:rFonts w:ascii="Roboto" w:hAnsi="Roboto"/>
              <w:color w:val="046FA4"/>
              <w:sz w:val="16"/>
              <w:szCs w:val="16"/>
            </w:rPr>
            <w:t>0</w:t>
          </w:r>
        </w:p>
      </w:tc>
      <w:tc>
        <w:tcPr>
          <w:tcW w:w="2326" w:type="dxa"/>
        </w:tcPr>
        <w:p w14:paraId="5F5F80BD" w14:textId="485F7DA2" w:rsidR="00E86EFD" w:rsidRPr="00210304" w:rsidRDefault="00E86EFD" w:rsidP="002403AC">
          <w:pPr>
            <w:pStyle w:val="Zpat"/>
            <w:ind w:left="180"/>
            <w:rPr>
              <w:rFonts w:ascii="Roboto" w:hAnsi="Roboto"/>
              <w:color w:val="046FA4"/>
              <w:sz w:val="16"/>
              <w:szCs w:val="16"/>
            </w:rPr>
          </w:pPr>
          <w:hyperlink r:id="rId2" w:history="1">
            <w:r w:rsidRPr="00210304">
              <w:rPr>
                <w:rStyle w:val="Hypertextovodkaz"/>
                <w:rFonts w:ascii="Roboto" w:hAnsi="Roboto"/>
                <w:color w:val="046FA4"/>
                <w:sz w:val="16"/>
                <w:szCs w:val="16"/>
                <w:u w:val="none"/>
              </w:rPr>
              <w:t>intergram@intergram.cz</w:t>
            </w:r>
          </w:hyperlink>
        </w:p>
        <w:p w14:paraId="1862B6FA" w14:textId="35F19817" w:rsidR="00E86EFD" w:rsidRPr="00210304" w:rsidRDefault="00E86EFD" w:rsidP="002403AC">
          <w:pPr>
            <w:pStyle w:val="Zpat"/>
            <w:ind w:left="180"/>
            <w:rPr>
              <w:rFonts w:ascii="Roboto" w:hAnsi="Roboto"/>
              <w:color w:val="046FA4"/>
              <w:sz w:val="16"/>
              <w:szCs w:val="16"/>
            </w:rPr>
          </w:pPr>
          <w:hyperlink r:id="rId3" w:history="1">
            <w:r w:rsidRPr="00210304">
              <w:rPr>
                <w:rStyle w:val="Hypertextovodkaz"/>
                <w:rFonts w:ascii="Roboto" w:hAnsi="Roboto"/>
                <w:color w:val="046FA4"/>
                <w:sz w:val="16"/>
                <w:szCs w:val="16"/>
                <w:u w:val="none"/>
              </w:rPr>
              <w:t>www.intergram.cz</w:t>
            </w:r>
          </w:hyperlink>
        </w:p>
      </w:tc>
      <w:tc>
        <w:tcPr>
          <w:tcW w:w="2850" w:type="dxa"/>
        </w:tcPr>
        <w:p w14:paraId="23FFE031" w14:textId="7FC2FE26" w:rsidR="00003B19" w:rsidRDefault="00003B19" w:rsidP="00FF35FE">
          <w:pPr>
            <w:pStyle w:val="Zpat"/>
            <w:ind w:left="194"/>
            <w:rPr>
              <w:rFonts w:ascii="Roboto" w:hAnsi="Roboto"/>
              <w:color w:val="046FA4"/>
              <w:sz w:val="16"/>
              <w:szCs w:val="16"/>
            </w:rPr>
          </w:pPr>
          <w:r>
            <w:rPr>
              <w:rFonts w:ascii="Roboto" w:hAnsi="Roboto"/>
              <w:color w:val="046FA4"/>
              <w:sz w:val="16"/>
              <w:szCs w:val="16"/>
            </w:rPr>
            <w:t xml:space="preserve">ID DS: </w:t>
          </w:r>
          <w:r w:rsidRPr="00003B19">
            <w:rPr>
              <w:rFonts w:ascii="Roboto" w:hAnsi="Roboto"/>
              <w:color w:val="046FA4"/>
              <w:sz w:val="16"/>
              <w:szCs w:val="16"/>
            </w:rPr>
            <w:t>zwrm6gv</w:t>
          </w:r>
        </w:p>
        <w:p w14:paraId="1E126093" w14:textId="2A488B1F" w:rsidR="00E86EFD" w:rsidRPr="00210304" w:rsidRDefault="00E86EFD" w:rsidP="00FF35FE">
          <w:pPr>
            <w:pStyle w:val="Zpat"/>
            <w:ind w:left="194"/>
            <w:rPr>
              <w:rFonts w:ascii="Roboto" w:hAnsi="Roboto"/>
              <w:color w:val="046FA4"/>
              <w:sz w:val="16"/>
              <w:szCs w:val="16"/>
            </w:rPr>
          </w:pPr>
          <w:r w:rsidRPr="00210304">
            <w:rPr>
              <w:rFonts w:ascii="Roboto" w:hAnsi="Roboto"/>
              <w:color w:val="046FA4"/>
              <w:sz w:val="16"/>
              <w:szCs w:val="16"/>
            </w:rPr>
            <w:t>č.</w:t>
          </w:r>
          <w:r w:rsidR="00210304">
            <w:rPr>
              <w:rFonts w:ascii="Roboto" w:hAnsi="Roboto"/>
              <w:color w:val="046FA4"/>
              <w:sz w:val="16"/>
              <w:szCs w:val="16"/>
            </w:rPr>
            <w:t xml:space="preserve"> </w:t>
          </w:r>
          <w:proofErr w:type="spellStart"/>
          <w:r w:rsidRPr="00210304">
            <w:rPr>
              <w:rFonts w:ascii="Roboto" w:hAnsi="Roboto"/>
              <w:color w:val="046FA4"/>
              <w:sz w:val="16"/>
              <w:szCs w:val="16"/>
            </w:rPr>
            <w:t>ú.</w:t>
          </w:r>
          <w:proofErr w:type="spellEnd"/>
          <w:r w:rsidRPr="00210304">
            <w:rPr>
              <w:rFonts w:ascii="Roboto" w:hAnsi="Roboto"/>
              <w:color w:val="046FA4"/>
              <w:sz w:val="16"/>
              <w:szCs w:val="16"/>
            </w:rPr>
            <w:t xml:space="preserve">: </w:t>
          </w:r>
          <w:r w:rsidR="00CB49A1" w:rsidRPr="00210304">
            <w:rPr>
              <w:rFonts w:ascii="Roboto" w:hAnsi="Roboto"/>
              <w:color w:val="046FA4"/>
              <w:sz w:val="16"/>
              <w:szCs w:val="16"/>
            </w:rPr>
            <w:t>47838011/0100</w:t>
          </w:r>
        </w:p>
      </w:tc>
      <w:tc>
        <w:tcPr>
          <w:tcW w:w="1544" w:type="dxa"/>
        </w:tcPr>
        <w:p w14:paraId="40328D99" w14:textId="44E331F9" w:rsidR="00E86EFD" w:rsidRPr="00210304" w:rsidRDefault="00E86EFD" w:rsidP="002403AC">
          <w:pPr>
            <w:pStyle w:val="Zpat"/>
            <w:jc w:val="right"/>
            <w:rPr>
              <w:rFonts w:ascii="Roboto" w:hAnsi="Roboto"/>
              <w:color w:val="046FA4"/>
              <w:sz w:val="16"/>
              <w:szCs w:val="16"/>
            </w:rPr>
          </w:pPr>
          <w:r w:rsidRPr="00210304">
            <w:rPr>
              <w:rFonts w:ascii="Roboto" w:hAnsi="Roboto"/>
              <w:color w:val="046FA4"/>
              <w:sz w:val="16"/>
              <w:szCs w:val="16"/>
            </w:rPr>
            <w:t xml:space="preserve">IČ: 00537772 </w:t>
          </w:r>
        </w:p>
        <w:p w14:paraId="420FB361" w14:textId="13232FBB" w:rsidR="00E86EFD" w:rsidRPr="00210304" w:rsidRDefault="00E86EFD" w:rsidP="002403AC">
          <w:pPr>
            <w:pStyle w:val="Zpat"/>
            <w:jc w:val="right"/>
            <w:rPr>
              <w:rFonts w:ascii="Roboto" w:hAnsi="Roboto"/>
              <w:color w:val="046FA4"/>
              <w:sz w:val="16"/>
              <w:szCs w:val="16"/>
            </w:rPr>
          </w:pPr>
          <w:r w:rsidRPr="00210304">
            <w:rPr>
              <w:rFonts w:ascii="Roboto" w:hAnsi="Roboto"/>
              <w:color w:val="046FA4"/>
              <w:sz w:val="16"/>
              <w:szCs w:val="16"/>
            </w:rPr>
            <w:t>DIČ: CZ00537772</w:t>
          </w:r>
        </w:p>
      </w:tc>
    </w:tr>
  </w:tbl>
  <w:p w14:paraId="1D71A6D8" w14:textId="1D1560AD" w:rsidR="00A87258" w:rsidRPr="00210304" w:rsidRDefault="00A87258" w:rsidP="00FF35FE">
    <w:pPr>
      <w:pStyle w:val="Zpat"/>
      <w:rPr>
        <w:rFonts w:ascii="Roboto" w:hAnsi="Roboto"/>
        <w:color w:val="046FA4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A5D9C" w14:textId="77777777" w:rsidR="00BB4E4E" w:rsidRDefault="00BB4E4E" w:rsidP="007346E9">
      <w:pPr>
        <w:spacing w:after="0" w:line="240" w:lineRule="auto"/>
      </w:pPr>
      <w:r>
        <w:separator/>
      </w:r>
    </w:p>
  </w:footnote>
  <w:footnote w:type="continuationSeparator" w:id="0">
    <w:p w14:paraId="348FD2E9" w14:textId="77777777" w:rsidR="00BB4E4E" w:rsidRDefault="00BB4E4E" w:rsidP="007346E9">
      <w:pPr>
        <w:spacing w:after="0" w:line="240" w:lineRule="auto"/>
      </w:pPr>
      <w:r>
        <w:continuationSeparator/>
      </w:r>
    </w:p>
  </w:footnote>
  <w:footnote w:id="1">
    <w:p w14:paraId="29594898" w14:textId="77777777" w:rsidR="00056A74" w:rsidRDefault="00056A74" w:rsidP="00056A7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proofErr w:type="spellStart"/>
      <w:r>
        <w:t>Polčák</w:t>
      </w:r>
      <w:proofErr w:type="spellEnd"/>
      <w:r>
        <w:t xml:space="preserve">, R. a kol.: Autorský zákon. Praktický komentář s judikaturou. Praha: </w:t>
      </w:r>
      <w:proofErr w:type="spellStart"/>
      <w:r>
        <w:t>Leges</w:t>
      </w:r>
      <w:proofErr w:type="spellEnd"/>
      <w:r>
        <w:t>, 2020.</w:t>
      </w:r>
    </w:p>
  </w:footnote>
  <w:footnote w:id="2">
    <w:p w14:paraId="6142C59C" w14:textId="77777777" w:rsidR="00056A74" w:rsidRDefault="00056A74" w:rsidP="00056A7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63E6B">
        <w:t>TELEC, Ivo. Autorský zákon: komentář. 2., upravené vydání. Pra</w:t>
      </w:r>
      <w:r>
        <w:t>ha</w:t>
      </w:r>
      <w:r w:rsidRPr="00B63E6B">
        <w:t xml:space="preserve">: C.H. Beck, 2019. 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CD405" w14:textId="530AFD38" w:rsidR="00E86EFD" w:rsidRPr="000F40E5" w:rsidRDefault="00210304" w:rsidP="00FF35FE">
    <w:pPr>
      <w:pStyle w:val="Zhlav"/>
      <w:ind w:left="3402"/>
      <w:rPr>
        <w:rFonts w:ascii="Roboto" w:hAnsi="Roboto"/>
        <w:b/>
        <w:bCs/>
        <w:color w:val="046FA4"/>
        <w:sz w:val="14"/>
        <w:szCs w:val="14"/>
      </w:rPr>
    </w:pPr>
    <w:r w:rsidRPr="000F40E5">
      <w:rPr>
        <w:noProof/>
        <w:color w:val="046FA4"/>
        <w:lang w:eastAsia="cs-CZ"/>
      </w:rPr>
      <w:drawing>
        <wp:anchor distT="152400" distB="152400" distL="152400" distR="152400" simplePos="0" relativeHeight="251664384" behindDoc="0" locked="0" layoutInCell="1" allowOverlap="1" wp14:anchorId="329940C5" wp14:editId="42ABB103">
          <wp:simplePos x="0" y="0"/>
          <wp:positionH relativeFrom="margin">
            <wp:posOffset>3790315</wp:posOffset>
          </wp:positionH>
          <wp:positionV relativeFrom="page">
            <wp:posOffset>368300</wp:posOffset>
          </wp:positionV>
          <wp:extent cx="2329180" cy="706120"/>
          <wp:effectExtent l="0" t="0" r="0" b="0"/>
          <wp:wrapThrough wrapText="bothSides" distL="152400" distR="152400">
            <wp:wrapPolygon edited="1">
              <wp:start x="0" y="0"/>
              <wp:lineTo x="0" y="9817"/>
              <wp:lineTo x="294" y="9817"/>
              <wp:lineTo x="294" y="0"/>
              <wp:lineTo x="0" y="0"/>
              <wp:lineTo x="1331" y="0"/>
              <wp:lineTo x="1331" y="4322"/>
              <wp:lineTo x="1625" y="4322"/>
              <wp:lineTo x="1625" y="0"/>
              <wp:lineTo x="1331" y="0"/>
              <wp:lineTo x="2662" y="0"/>
              <wp:lineTo x="2662" y="2753"/>
              <wp:lineTo x="2956" y="2753"/>
              <wp:lineTo x="2956" y="0"/>
              <wp:lineTo x="2662" y="0"/>
              <wp:lineTo x="3996" y="0"/>
              <wp:lineTo x="3996" y="4322"/>
              <wp:lineTo x="4286" y="4322"/>
              <wp:lineTo x="4286" y="0"/>
              <wp:lineTo x="3996" y="0"/>
              <wp:lineTo x="5327" y="0"/>
              <wp:lineTo x="5327" y="9348"/>
              <wp:lineTo x="5621" y="9348"/>
              <wp:lineTo x="5621" y="0"/>
              <wp:lineTo x="5327" y="0"/>
              <wp:lineTo x="6658" y="0"/>
              <wp:lineTo x="6658" y="16097"/>
              <wp:lineTo x="6952" y="16097"/>
              <wp:lineTo x="6952" y="0"/>
              <wp:lineTo x="6658" y="0"/>
              <wp:lineTo x="7989" y="0"/>
              <wp:lineTo x="7989" y="9817"/>
              <wp:lineTo x="8283" y="9817"/>
              <wp:lineTo x="8283" y="0"/>
              <wp:lineTo x="7989" y="0"/>
              <wp:lineTo x="9323" y="0"/>
              <wp:lineTo x="9323" y="5892"/>
              <wp:lineTo x="9613" y="5892"/>
              <wp:lineTo x="9613" y="0"/>
              <wp:lineTo x="9323" y="0"/>
              <wp:lineTo x="10654" y="0"/>
              <wp:lineTo x="10654" y="3537"/>
              <wp:lineTo x="10948" y="3537"/>
              <wp:lineTo x="10948" y="0"/>
              <wp:lineTo x="10654" y="0"/>
              <wp:lineTo x="11985" y="0"/>
              <wp:lineTo x="11985" y="9032"/>
              <wp:lineTo x="12279" y="9032"/>
              <wp:lineTo x="12279" y="0"/>
              <wp:lineTo x="11985" y="0"/>
              <wp:lineTo x="13316" y="0"/>
              <wp:lineTo x="13316" y="5107"/>
              <wp:lineTo x="13610" y="5107"/>
              <wp:lineTo x="13610" y="0"/>
              <wp:lineTo x="13316" y="0"/>
              <wp:lineTo x="14650" y="0"/>
              <wp:lineTo x="14650" y="3537"/>
              <wp:lineTo x="14940" y="3537"/>
              <wp:lineTo x="14940" y="0"/>
              <wp:lineTo x="14650" y="0"/>
              <wp:lineTo x="15981" y="0"/>
              <wp:lineTo x="15981" y="4322"/>
              <wp:lineTo x="16275" y="4322"/>
              <wp:lineTo x="16275" y="0"/>
              <wp:lineTo x="15981" y="0"/>
              <wp:lineTo x="17312" y="0"/>
              <wp:lineTo x="17312" y="3140"/>
              <wp:lineTo x="17606" y="3140"/>
              <wp:lineTo x="17606" y="0"/>
              <wp:lineTo x="17312" y="0"/>
              <wp:lineTo x="18643" y="0"/>
              <wp:lineTo x="18643" y="5107"/>
              <wp:lineTo x="18936" y="5107"/>
              <wp:lineTo x="18936" y="0"/>
              <wp:lineTo x="18643" y="0"/>
              <wp:lineTo x="19977" y="0"/>
              <wp:lineTo x="19977" y="11387"/>
              <wp:lineTo x="20267" y="11387"/>
              <wp:lineTo x="20267" y="0"/>
              <wp:lineTo x="19977" y="0"/>
              <wp:lineTo x="21308" y="0"/>
              <wp:lineTo x="21308" y="21602"/>
              <wp:lineTo x="21602" y="21602"/>
              <wp:lineTo x="21602" y="0"/>
              <wp:lineTo x="21308" y="0"/>
              <wp:lineTo x="0" y="0"/>
            </wp:wrapPolygon>
          </wp:wrapThrough>
          <wp:docPr id="1073741827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Hlavickovy-papir-03-vlny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9180" cy="7061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2351" w:rsidRPr="000F40E5">
      <w:rPr>
        <w:noProof/>
        <w:color w:val="046FA4"/>
        <w:lang w:eastAsia="cs-CZ"/>
      </w:rPr>
      <w:drawing>
        <wp:anchor distT="152400" distB="152400" distL="152400" distR="152400" simplePos="0" relativeHeight="251666432" behindDoc="0" locked="0" layoutInCell="1" allowOverlap="1" wp14:anchorId="7E008152" wp14:editId="74120D1F">
          <wp:simplePos x="0" y="0"/>
          <wp:positionH relativeFrom="margin">
            <wp:align>left</wp:align>
          </wp:positionH>
          <wp:positionV relativeFrom="page">
            <wp:posOffset>368300</wp:posOffset>
          </wp:positionV>
          <wp:extent cx="1999332" cy="374650"/>
          <wp:effectExtent l="0" t="0" r="1270" b="6350"/>
          <wp:wrapNone/>
          <wp:docPr id="1073741826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lavickovy-papir-02-logo.png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5351" cy="39639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6EFD" w:rsidRPr="000F40E5">
      <w:rPr>
        <w:rFonts w:ascii="Roboto" w:hAnsi="Roboto"/>
        <w:b/>
        <w:bCs/>
        <w:color w:val="046FA4"/>
        <w:sz w:val="14"/>
        <w:szCs w:val="14"/>
      </w:rPr>
      <w:t xml:space="preserve">Nezávislá společnost výkonných </w:t>
    </w:r>
  </w:p>
  <w:p w14:paraId="2818A216" w14:textId="04239E49" w:rsidR="00E86EFD" w:rsidRPr="000F40E5" w:rsidRDefault="00E86EFD" w:rsidP="00FF35FE">
    <w:pPr>
      <w:pStyle w:val="Zhlav"/>
      <w:ind w:left="3402"/>
      <w:rPr>
        <w:rFonts w:ascii="Roboto" w:hAnsi="Roboto"/>
        <w:b/>
        <w:bCs/>
        <w:color w:val="046FA4"/>
        <w:sz w:val="14"/>
        <w:szCs w:val="14"/>
      </w:rPr>
    </w:pPr>
    <w:r w:rsidRPr="000F40E5">
      <w:rPr>
        <w:rFonts w:ascii="Roboto" w:hAnsi="Roboto"/>
        <w:b/>
        <w:bCs/>
        <w:color w:val="046FA4"/>
        <w:sz w:val="14"/>
        <w:szCs w:val="14"/>
      </w:rPr>
      <w:t xml:space="preserve">umělců a výrobců zvukových </w:t>
    </w:r>
  </w:p>
  <w:p w14:paraId="7D7AB797" w14:textId="6D9BF8FB" w:rsidR="007346E9" w:rsidRPr="000F40E5" w:rsidRDefault="00E86EFD" w:rsidP="00B43765">
    <w:pPr>
      <w:pStyle w:val="Zhlav"/>
      <w:ind w:left="3402"/>
      <w:rPr>
        <w:b/>
        <w:bCs/>
        <w:color w:val="046FA4"/>
        <w:sz w:val="18"/>
        <w:szCs w:val="18"/>
      </w:rPr>
    </w:pPr>
    <w:r w:rsidRPr="000F40E5">
      <w:rPr>
        <w:rFonts w:ascii="Roboto" w:hAnsi="Roboto"/>
        <w:b/>
        <w:bCs/>
        <w:color w:val="046FA4"/>
        <w:sz w:val="14"/>
        <w:szCs w:val="14"/>
      </w:rPr>
      <w:t>a zvukově obrazových záznamů</w:t>
    </w:r>
    <w:r w:rsidRPr="00210304">
      <w:rPr>
        <w:rFonts w:ascii="Roboto" w:hAnsi="Roboto"/>
        <w:b/>
        <w:bCs/>
        <w:color w:val="046FA4"/>
        <w:sz w:val="14"/>
        <w:szCs w:val="14"/>
      </w:rPr>
      <w:t>, z.</w:t>
    </w:r>
    <w:r w:rsidR="00210304">
      <w:rPr>
        <w:rFonts w:ascii="Roboto" w:hAnsi="Roboto"/>
        <w:b/>
        <w:bCs/>
        <w:color w:val="046FA4"/>
        <w:sz w:val="14"/>
        <w:szCs w:val="14"/>
      </w:rPr>
      <w:t xml:space="preserve"> </w:t>
    </w:r>
    <w:r w:rsidRPr="00210304">
      <w:rPr>
        <w:rFonts w:ascii="Roboto" w:hAnsi="Roboto"/>
        <w:b/>
        <w:bCs/>
        <w:color w:val="046FA4"/>
        <w:sz w:val="14"/>
        <w:szCs w:val="14"/>
      </w:rPr>
      <w:t>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A04E2"/>
    <w:multiLevelType w:val="hybridMultilevel"/>
    <w:tmpl w:val="EF588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30B53"/>
    <w:multiLevelType w:val="hybridMultilevel"/>
    <w:tmpl w:val="65748F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3C53D5"/>
    <w:multiLevelType w:val="hybridMultilevel"/>
    <w:tmpl w:val="1280FC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B105D"/>
    <w:multiLevelType w:val="hybridMultilevel"/>
    <w:tmpl w:val="C3B21C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32136D"/>
    <w:multiLevelType w:val="hybridMultilevel"/>
    <w:tmpl w:val="696A78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650505">
    <w:abstractNumId w:val="3"/>
  </w:num>
  <w:num w:numId="2" w16cid:durableId="2140997565">
    <w:abstractNumId w:val="0"/>
  </w:num>
  <w:num w:numId="3" w16cid:durableId="1269312440">
    <w:abstractNumId w:val="4"/>
  </w:num>
  <w:num w:numId="4" w16cid:durableId="1621493340">
    <w:abstractNumId w:val="2"/>
  </w:num>
  <w:num w:numId="5" w16cid:durableId="705370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46E9"/>
    <w:rsid w:val="00003B19"/>
    <w:rsid w:val="00056A74"/>
    <w:rsid w:val="000A21D8"/>
    <w:rsid w:val="000D3EB8"/>
    <w:rsid w:val="000F40E5"/>
    <w:rsid w:val="00116602"/>
    <w:rsid w:val="00130A6A"/>
    <w:rsid w:val="00154D2E"/>
    <w:rsid w:val="00157FF6"/>
    <w:rsid w:val="00176F35"/>
    <w:rsid w:val="001B0021"/>
    <w:rsid w:val="001B08CF"/>
    <w:rsid w:val="001D511D"/>
    <w:rsid w:val="00210304"/>
    <w:rsid w:val="00210D96"/>
    <w:rsid w:val="00216DAF"/>
    <w:rsid w:val="002403AC"/>
    <w:rsid w:val="002D11DF"/>
    <w:rsid w:val="002D685B"/>
    <w:rsid w:val="00311DF1"/>
    <w:rsid w:val="00316500"/>
    <w:rsid w:val="00321522"/>
    <w:rsid w:val="003463E1"/>
    <w:rsid w:val="00347D74"/>
    <w:rsid w:val="003B28C6"/>
    <w:rsid w:val="003B3C02"/>
    <w:rsid w:val="003C6AED"/>
    <w:rsid w:val="0043772E"/>
    <w:rsid w:val="0046396B"/>
    <w:rsid w:val="00480308"/>
    <w:rsid w:val="004C2F2B"/>
    <w:rsid w:val="004E5206"/>
    <w:rsid w:val="005422F4"/>
    <w:rsid w:val="00583C83"/>
    <w:rsid w:val="00591FDD"/>
    <w:rsid w:val="005A3953"/>
    <w:rsid w:val="005B5732"/>
    <w:rsid w:val="005B5907"/>
    <w:rsid w:val="005C1731"/>
    <w:rsid w:val="005F0331"/>
    <w:rsid w:val="005F7802"/>
    <w:rsid w:val="00604ABC"/>
    <w:rsid w:val="00694D7A"/>
    <w:rsid w:val="00697FD6"/>
    <w:rsid w:val="006B6EBC"/>
    <w:rsid w:val="006C4B1C"/>
    <w:rsid w:val="00732D6C"/>
    <w:rsid w:val="007346E9"/>
    <w:rsid w:val="007557F9"/>
    <w:rsid w:val="007B314A"/>
    <w:rsid w:val="007B693E"/>
    <w:rsid w:val="008016CB"/>
    <w:rsid w:val="00824968"/>
    <w:rsid w:val="008334E6"/>
    <w:rsid w:val="00842351"/>
    <w:rsid w:val="00867C4A"/>
    <w:rsid w:val="008F578E"/>
    <w:rsid w:val="00954A8C"/>
    <w:rsid w:val="00966AE2"/>
    <w:rsid w:val="0097363F"/>
    <w:rsid w:val="009C5154"/>
    <w:rsid w:val="00A01F25"/>
    <w:rsid w:val="00A02211"/>
    <w:rsid w:val="00A07C63"/>
    <w:rsid w:val="00A71A90"/>
    <w:rsid w:val="00A87258"/>
    <w:rsid w:val="00A9104D"/>
    <w:rsid w:val="00AF1895"/>
    <w:rsid w:val="00B43765"/>
    <w:rsid w:val="00B66D2A"/>
    <w:rsid w:val="00B74224"/>
    <w:rsid w:val="00BA26D2"/>
    <w:rsid w:val="00BB19D3"/>
    <w:rsid w:val="00BB4E4E"/>
    <w:rsid w:val="00BB7654"/>
    <w:rsid w:val="00BE3122"/>
    <w:rsid w:val="00BE6FB5"/>
    <w:rsid w:val="00C00AB4"/>
    <w:rsid w:val="00C25F2E"/>
    <w:rsid w:val="00CB49A1"/>
    <w:rsid w:val="00CB5847"/>
    <w:rsid w:val="00CD1CEB"/>
    <w:rsid w:val="00CD4024"/>
    <w:rsid w:val="00CE1FBA"/>
    <w:rsid w:val="00CF1DBC"/>
    <w:rsid w:val="00CF3966"/>
    <w:rsid w:val="00CF5B71"/>
    <w:rsid w:val="00D55DDD"/>
    <w:rsid w:val="00D80D0E"/>
    <w:rsid w:val="00D87CD2"/>
    <w:rsid w:val="00DA37D7"/>
    <w:rsid w:val="00DA4E26"/>
    <w:rsid w:val="00DB10F7"/>
    <w:rsid w:val="00DD2F3B"/>
    <w:rsid w:val="00E16D07"/>
    <w:rsid w:val="00E2601F"/>
    <w:rsid w:val="00E33C1D"/>
    <w:rsid w:val="00E37C88"/>
    <w:rsid w:val="00E55358"/>
    <w:rsid w:val="00E611AC"/>
    <w:rsid w:val="00E86EFD"/>
    <w:rsid w:val="00EA0CF3"/>
    <w:rsid w:val="00EA36BE"/>
    <w:rsid w:val="00EA6D7A"/>
    <w:rsid w:val="00EB40CB"/>
    <w:rsid w:val="00EC14E0"/>
    <w:rsid w:val="00FA417C"/>
    <w:rsid w:val="00FD221A"/>
    <w:rsid w:val="00FF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B2B40"/>
  <w15:docId w15:val="{8E1913F7-6F5D-474B-9B2E-0388400AC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46E9"/>
  </w:style>
  <w:style w:type="paragraph" w:styleId="Zpat">
    <w:name w:val="footer"/>
    <w:basedOn w:val="Normln"/>
    <w:link w:val="ZpatChar"/>
    <w:uiPriority w:val="99"/>
    <w:unhideWhenUsed/>
    <w:rsid w:val="00734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46E9"/>
  </w:style>
  <w:style w:type="character" w:styleId="Hypertextovodkaz">
    <w:name w:val="Hyperlink"/>
    <w:basedOn w:val="Standardnpsmoodstavce"/>
    <w:uiPriority w:val="99"/>
    <w:unhideWhenUsed/>
    <w:rsid w:val="003B3C02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B3C02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E86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403A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56A7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56A7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56A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4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6462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4469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3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14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8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tergram.cz" TargetMode="External"/><Relationship Id="rId2" Type="http://schemas.openxmlformats.org/officeDocument/2006/relationships/hyperlink" Target="mailto:intergram@intergram.cz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2</Pages>
  <Words>656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INTERGRAM</dc:creator>
  <cp:lastModifiedBy>Václav Hodonický</cp:lastModifiedBy>
  <cp:revision>22</cp:revision>
  <cp:lastPrinted>2022-01-17T10:00:00Z</cp:lastPrinted>
  <dcterms:created xsi:type="dcterms:W3CDTF">2021-10-01T09:34:00Z</dcterms:created>
  <dcterms:modified xsi:type="dcterms:W3CDTF">2025-04-16T07:41:00Z</dcterms:modified>
</cp:coreProperties>
</file>